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Healthcare Payer Primer: Payer Economics and Ecosystem for Innovators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The Payer as the Central Financial Architect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U.S. healthcare payer, often referred to as a health insurance carrier, is fundamentally a complex financial institution tasked with managing risk, processing claims on a massive scale, and operating as a highly regulated government contractor. For product builders and innovators, understanding the payer is paramount because the payer controls the money flow and dictates the rules of engagement for members and providers alike.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payer’s core mission is elegantly simple in concept but difficult in execution: collect fixed revenue (premiums or capitation payments) and manage highly unpredictable liabilities (future claims) while adhering to strict legal limitations on profitability.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most critical regulatory constraint governing the payer business model is the Medical Loss Ratio (MLR). The MLR mandates that a fixed, high percentage of premium revenue (typically 80% or 85% for large group and individual markets) must be spent on clinical services and activities that improve care quality.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regulation prevents payers from maximizing profit simply by denying care or drastically cutting overall medical spending. Instead, profitability is achieved by optimizing administrative efficiency and strategically investing funds that count toward the MLR minimum, specifically Quality Improvement Activities (QIA).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successfully design products for this ecosystem, innovators must focus on solutions that align with the payer's core financial levers: maximizing revenue captured from government programs (primarily via risk adjustment and quality ratings) and maximizing efficiency within the tightly constrained administrative budget.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Healthcare 101: Mapping the Ecosystem and Power Dynamics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Analogy: The Payer as a Financial Reservoir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grasp payer economics, it is helpful to conceptualize the payer as a controlled financial reservoir. Premiums and government capitation payments represent the inflows, providing the funding pool. Claims paid to providers represent the largest, most unpredictable outflow or leak. Regulatory requirements, such as the MLR, act as mandated overflow pipes, ensuring a minimum percentage of the pool is directed toward healthcare services. The payer’s profit margin is the carefully managed surplus derived from ensuring the outflows are minimized and the inflows are maximized, all within the required administrative budget. The payer is paid a fixed amount to manage an unknown future liability, making the accurate prediction of medical costs the foundation of the entire business.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Constituent Deep Dive: Roles, Stakes, and Interplay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stakeholders’ roles and motivations reveals where financial leverage exists: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Members / Patients:</w:t>
      </w:r>
      <w:r w:rsidDel="00000000" w:rsidR="00000000" w:rsidRPr="00000000">
        <w:rPr>
          <w:rFonts w:ascii="Google Sans Text" w:cs="Google Sans Text" w:eastAsia="Google Sans Text" w:hAnsi="Google Sans Text"/>
          <w:color w:val="1b1c1d"/>
          <w:rtl w:val="0"/>
        </w:rPr>
        <w:t xml:space="preserve"> This group represents the insured population, forming the risk pool. Payers strive to manage the member experience—through avenues like call centers, digital applications, and omni-channel services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—not just for satisfaction, but to drive engagement. High satisfaction scores (like CAHPS) contribute to quality metrics (e.g., Medicare Star Ratings), and effective engagement in wellness programs can lead to better outcomes, ultimately reducing high-cost episodes.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Providers (Doctors, Hospitals, Health Systems):</w:t>
      </w:r>
      <w:r w:rsidDel="00000000" w:rsidR="00000000" w:rsidRPr="00000000">
        <w:rPr>
          <w:rFonts w:ascii="Google Sans Text" w:cs="Google Sans Text" w:eastAsia="Google Sans Text" w:hAnsi="Google Sans Text"/>
          <w:color w:val="1b1c1d"/>
          <w:rtl w:val="0"/>
        </w:rPr>
        <w:t xml:space="preserve"> Providers constitute the primary expense center for the payer. The dynamic is evolving from simple transactional fee-for-service (FFS) contracting toward collaborative models such as Value-Based Care (VBC) and Shared Savings arrangements.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Critically, providers hold the detailed clinical data necessary for accurate risk adjustment submissions, giving them significant influence over payer revenue in capitated models.</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Employers (Plan Sponsors):</w:t>
      </w:r>
      <w:r w:rsidDel="00000000" w:rsidR="00000000" w:rsidRPr="00000000">
        <w:rPr>
          <w:rFonts w:ascii="Google Sans Text" w:cs="Google Sans Text" w:eastAsia="Google Sans Text" w:hAnsi="Google Sans Text"/>
          <w:color w:val="1b1c1d"/>
          <w:rtl w:val="0"/>
        </w:rPr>
        <w:t xml:space="preserve"> In the commercial market, employers are the primary purchasers of coverage. Large employers frequently opt for self-funded plans, where they assume the financial risk, making their role akin to that of the direct financier.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Their decisions regarding plan design and funding mechanisms drive the vast majority of commercial enrollment.</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Government Agencies (CMS/State Medicaid):</w:t>
      </w:r>
      <w:r w:rsidDel="00000000" w:rsidR="00000000" w:rsidRPr="00000000">
        <w:rPr>
          <w:rFonts w:ascii="Google Sans Text" w:cs="Google Sans Text" w:eastAsia="Google Sans Text" w:hAnsi="Google Sans Text"/>
          <w:color w:val="1b1c1d"/>
          <w:rtl w:val="0"/>
        </w:rPr>
        <w:t xml:space="preserve"> These agencies are simultaneously the regulator, the auditor, and the largest client. The Centers for Medicare &amp; Medicaid Services (CMS) dictates the rules for Medicare Advantage (MA), controlling revenue through risk adjustment and quality programs like Star Ratings.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State Medicaid agencies set capitation rates and enforce quality incentive programs for Medicaid Managed Care Organizations (MCOs).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Brokers / Sales Agents:</w:t>
      </w:r>
      <w:r w:rsidDel="00000000" w:rsidR="00000000" w:rsidRPr="00000000">
        <w:rPr>
          <w:rFonts w:ascii="Google Sans Text" w:cs="Google Sans Text" w:eastAsia="Google Sans Text" w:hAnsi="Google Sans Text"/>
          <w:color w:val="1b1c1d"/>
          <w:rtl w:val="0"/>
        </w:rPr>
        <w:t xml:space="preserve"> These intermediaries act as the distribution channel for insurance products. They guide employers or individuals in selecting carriers based on cost, network adequacy, and benefits. Their leverage stems from their ability to influence enrollment volume and shape the benefit design on behalf of their clients.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Advocates / Care Coordinators:</w:t>
      </w:r>
      <w:r w:rsidDel="00000000" w:rsidR="00000000" w:rsidRPr="00000000">
        <w:rPr>
          <w:rFonts w:ascii="Google Sans Text" w:cs="Google Sans Text" w:eastAsia="Google Sans Text" w:hAnsi="Google Sans Text"/>
          <w:color w:val="1b1c1d"/>
          <w:rtl w:val="0"/>
        </w:rPr>
        <w:t xml:space="preserve"> These professionals, whether internal staff or third-party contractors, specialize in supporting members who are navigating complex benefit structures and care pathways, including securing authorizations and referrals.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Their effectiveness directly reduces administrative friction and ensures that care is both appropriate and efficient, leading to cost avoidance.</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Clinical Teams (Utilization Management/Case Managers):</w:t>
      </w:r>
      <w:r w:rsidDel="00000000" w:rsidR="00000000" w:rsidRPr="00000000">
        <w:rPr>
          <w:rFonts w:ascii="Google Sans Text" w:cs="Google Sans Text" w:eastAsia="Google Sans Text" w:hAnsi="Google Sans Text"/>
          <w:color w:val="1b1c1d"/>
          <w:rtl w:val="0"/>
        </w:rPr>
        <w:t xml:space="preserve"> Internal clinical staff focus on verifying that services requested are medically necessary and delivered in the most efficient setting. They are central to managing the utilization of high-cost resources and verifying appropriate resource allocation.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Hierarchy of Influence: The "Table of Power"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ecosystem is populated by many ancillary entities (e.g., wellness companies, digital health point solutions), lasting transformation and market penetration require engaging the three foundational power constituents: the Health Plan Sponsor (Employer), the Healthcare Consultant/Broker, and the Health Insurance Carrier.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Many disruptive point solutions fail not due to technological deficiency, but because they lack a clear channel to the consumer that is approved and supported by one of these three primary power players. Therefore, innovation must be designed to either be sold </w:t>
      </w:r>
      <w:r w:rsidDel="00000000" w:rsidR="00000000" w:rsidRPr="00000000">
        <w:rPr>
          <w:rFonts w:ascii="Google Sans Text" w:cs="Google Sans Text" w:eastAsia="Google Sans Text" w:hAnsi="Google Sans Text"/>
          <w:i w:val="1"/>
          <w:color w:val="1b1c1d"/>
          <w:rtl w:val="0"/>
        </w:rPr>
        <w:t xml:space="preserve">through</w:t>
      </w:r>
      <w:r w:rsidDel="00000000" w:rsidR="00000000" w:rsidRPr="00000000">
        <w:rPr>
          <w:rFonts w:ascii="Google Sans Text" w:cs="Google Sans Text" w:eastAsia="Google Sans Text" w:hAnsi="Google Sans Text"/>
          <w:color w:val="1b1c1d"/>
          <w:rtl w:val="0"/>
        </w:rPr>
        <w:t xml:space="preserve"> the payer/broker or directly </w:t>
      </w:r>
      <w:r w:rsidDel="00000000" w:rsidR="00000000" w:rsidRPr="00000000">
        <w:rPr>
          <w:rFonts w:ascii="Google Sans Text" w:cs="Google Sans Text" w:eastAsia="Google Sans Text" w:hAnsi="Google Sans Text"/>
          <w:i w:val="1"/>
          <w:color w:val="1b1c1d"/>
          <w:rtl w:val="0"/>
        </w:rPr>
        <w:t xml:space="preserve">to</w:t>
      </w:r>
      <w:r w:rsidDel="00000000" w:rsidR="00000000" w:rsidRPr="00000000">
        <w:rPr>
          <w:rFonts w:ascii="Google Sans Text" w:cs="Google Sans Text" w:eastAsia="Google Sans Text" w:hAnsi="Google Sans Text"/>
          <w:color w:val="1b1c1d"/>
          <w:rtl w:val="0"/>
        </w:rPr>
        <w:t xml:space="preserve"> the high-leverage employer plan sponsor.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Core Financial Engine: Premiums, Claims, and the MLR Constraint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Money Flow Visualization: Premiums In </w:t>
      </w:r>
      <w:r w:rsidDel="00000000" w:rsidR="00000000" w:rsidRPr="00000000">
        <w:rPr>
          <w:rFonts w:ascii="Google Sans Text" w:cs="Google Sans Text" w:eastAsia="Google Sans Text" w:hAnsi="Google Sans Text"/>
          <w:b w:val="1"/>
          <w:i w:val="0"/>
          <w:color w:val="1b1c1d"/>
          <w:sz w:val="28"/>
          <w:szCs w:val="28"/>
          <w:rtl w:val="0"/>
        </w:rPr>
        <w:t xml:space="preserve">$\rightarrow$</w:t>
      </w:r>
      <w:r w:rsidDel="00000000" w:rsidR="00000000" w:rsidRPr="00000000">
        <w:rPr>
          <w:rFonts w:ascii="Google Sans" w:cs="Google Sans" w:eastAsia="Google Sans" w:hAnsi="Google Sans"/>
          <w:color w:val="1b1c1d"/>
          <w:rtl w:val="0"/>
        </w:rPr>
        <w:t xml:space="preserve"> Claims Out </w:t>
      </w:r>
      <w:r w:rsidDel="00000000" w:rsidR="00000000" w:rsidRPr="00000000">
        <w:rPr>
          <w:rFonts w:ascii="Google Sans Text" w:cs="Google Sans Text" w:eastAsia="Google Sans Text" w:hAnsi="Google Sans Text"/>
          <w:b w:val="1"/>
          <w:i w:val="0"/>
          <w:color w:val="1b1c1d"/>
          <w:sz w:val="28"/>
          <w:szCs w:val="28"/>
          <w:rtl w:val="0"/>
        </w:rPr>
        <w:t xml:space="preserve">$\rightarrow$</w:t>
      </w:r>
      <w:r w:rsidDel="00000000" w:rsidR="00000000" w:rsidRPr="00000000">
        <w:rPr>
          <w:rFonts w:ascii="Google Sans" w:cs="Google Sans" w:eastAsia="Google Sans" w:hAnsi="Google Sans"/>
          <w:color w:val="1b1c1d"/>
          <w:rtl w:val="0"/>
        </w:rPr>
        <w:t xml:space="preserve"> Payer Margin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financial backbone of the payer is straightforward: Revenue (Premiums/Capitation) minus the sum of Claims Paid and Administrative Operating Costs equals the Margin. Claims constitute the single greatest expense for any fully insured payer. Payers control this outflow through three major mechanisms: negotiating discounted rates with providers (network management), verifying necessity before treatment (prior authorization and utilization review), and proactively auditing for billing errors or overpayments.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Medical Loss Ratio (MLR) Constraint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Affordable Care Act (ACA) solidified the MLR as a crucial regulatory measure.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MLR measures the proportion of premium revenue spent on clinical services and quality improvement. If a managed care organization (MCO) fails to meet the minimum MLR standard (which is 80% or 85% depending on market segment), they are legally required to issue rebates to their enrollees.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MLR Calculation Breakdown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MLR formula clarifies where the payer can strategically invest: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$$\text{MLR} = \frac{\text{Paid Medical Services Claims} + \text{Quality Improvement Activities (QIA)}}{\text{Premium Revenue} - \text{Allowable Deductions}}$$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Quality Improvement Activities (QIA) are critical because they include beneficial services—like Medication Therapy Management—that improve health outcomes, reduce medical errors, prevent hospital readmissions, and increase wellness, yet they still count as "medical spending" in the numerator.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MLR Management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the MLR means that payers cannot arbitrarily cut medical claims to boost profit; instead, they must seek efficiency. The strategic use of QIA allows the payer to spend money in a way that satisfies the MLR compliance requirement while simultaneously acting as a preventive measure that reduces the probability of significantly higher-cost future medical events (e.g., avoidable hospitalizations). If an investment in QIA successfully prevents a major claim, the payer has efficiently utilized funds that satisfy the MLR numerator and protected their administrative margin from a much larger expense. QIA is, therefore, a dual-purpose strategic investment for compliance and long-term cost avoidance.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Payer Financial Model vs. Traditional Banking</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further simplify the payer's unique financial position, the model can be contrasted with traditional financial services: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Payer Financial Model vs. Traditional Banking</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Payer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Banking Analogy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 / Constraint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Premium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Deposits into a Bank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Funds collected to cover future liabilities (Claims).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Claims Paid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Withdrawals by Customers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variable expense; the cost of healthcare services.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Medical Loss Ratio (MLR)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Regulatory Spending Guardrail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Mandated minimum percentage of "deposits" that must be spent on services.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Administrative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Bank Operating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Non-claims costs (IT, marketing, salaries).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Profit Margin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Bank’s Net Income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Derived from efficiency and volume </w:t>
            </w:r>
            <w:r w:rsidDel="00000000" w:rsidR="00000000" w:rsidRPr="00000000">
              <w:rPr>
                <w:rFonts w:ascii="Google Sans Text" w:cs="Google Sans Text" w:eastAsia="Google Sans Text" w:hAnsi="Google Sans Text"/>
                <w:i w:val="1"/>
                <w:color w:val="1b1c1d"/>
                <w:shd w:fill="auto" w:val="clear"/>
                <w:rtl w:val="0"/>
              </w:rPr>
              <w:t xml:space="preserve">within</w:t>
            </w:r>
            <w:r w:rsidDel="00000000" w:rsidR="00000000" w:rsidRPr="00000000">
              <w:rPr>
                <w:rFonts w:ascii="Google Sans Text" w:cs="Google Sans Text" w:eastAsia="Google Sans Text" w:hAnsi="Google Sans Text"/>
                <w:color w:val="1b1c1d"/>
                <w:shd w:fill="auto" w:val="clear"/>
                <w:rtl w:val="0"/>
              </w:rPr>
              <w:t xml:space="preserve"> the non-claims budget.</w:t>
            </w:r>
          </w:p>
        </w:tc>
      </w:tr>
    </w:tbl>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Payer Profit Models by Business Line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Payer revenue and profit levers vary significantly based on the market segment, primarily distinguished by who assumes the underlying risk.</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Commercial Products (Employer-Sponsored and Individual/ACA)</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Fully Insured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fully insured model, the employer pays a fixed premium to the payer, and the payer assumes all financial risk for claims. Profit is derived from accurate underwriting (setting the premium correctly) and effective utilization control, ensuring that claims stay below the MLR threshold.</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Self-Funded / Administrative Services Only (ASO)</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an ASO arrangement, the large employer assumes full responsibility for paying the claims themselves, thus bearing the financial risk.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payer’s role is strictly administrative, providing essential services such as claims processing, network access, and member support for a fixed fee.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Because the employer bears the risk, they often purchase </w:t>
      </w:r>
      <w:r w:rsidDel="00000000" w:rsidR="00000000" w:rsidRPr="00000000">
        <w:rPr>
          <w:rFonts w:ascii="Google Sans Text" w:cs="Google Sans Text" w:eastAsia="Google Sans Text" w:hAnsi="Google Sans Text"/>
          <w:b w:val="1"/>
          <w:color w:val="1b1c1d"/>
          <w:rtl w:val="0"/>
        </w:rPr>
        <w:t xml:space="preserve">stop-loss insurance</w:t>
      </w:r>
      <w:r w:rsidDel="00000000" w:rsidR="00000000" w:rsidRPr="00000000">
        <w:rPr>
          <w:rFonts w:ascii="Google Sans Text" w:cs="Google Sans Text" w:eastAsia="Google Sans Text" w:hAnsi="Google Sans Text"/>
          <w:color w:val="1b1c1d"/>
          <w:rtl w:val="0"/>
        </w:rPr>
        <w:t xml:space="preserve">—a type of reinsurance where the insurer takes responsibility for claims exceeding a predefined large threshold (e.g., $\$10,000$ per person).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ASO, the payer’s core revenue driver shifts from controlling the volume of claims to maximizing the sale of high-margin administrative services, stop-loss policies, and specialized network rentals. Products that enhance the operational efficiency of ASO claims processing or provide analytical tools to help employers manage their stop-loss liability are highly valued by the payer in this model.</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Individual/ACA Exchange Plans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market is characterized by stringent MLR enforcement and government subsidies (premium tax credits). To maintain market stability, the Affordable Care Act includes a robust Risk Adjustment mechanism. This methodology is designed to compensate plans for differences in enrollee health status, ensuring that plan premiums reflect the scope of coverage rather than successful selection of only healthy members.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Payments are transferred between plans based on the acuity mix of their members.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Government Programs: Medicare Advantage (MA)</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Medicare Advantage is the most sophisticated and profitable segment for many large payers, driven entirely by two primary mechanisms: risk adjustment and quality ratings.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Capitation and Risk Adjustment (The Revenue Engine)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CMS pays the MA plan a fixed Per Member Per Month (PMPM) capitation payment. Crucially, this PMPM payment is adjusted annually based on the enrollee’s health status, quantified by the Hierarchical Condition Category (HCC) risk score.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Members with more chronic, documented conditions generate a higher risk score and, consequently, a higher annual revenue payment from CMS. This structure ensures plans are compensated adequately for managing sicker populations.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Because risk adjustment dictates the baseline revenue, accurate and complete clinical documentation is critical. If a patient’s chronic conditions are present but not coded correctly and submitted to CMS, the MA plan’s calculated risk score for that patient decreases, resulting in a direct and measurable loss of annual revenue. Therefore, investment in tools and processes that ensure providers accurately document every chronic condition is not a quality measure; it is a necessary investment in revenue maximization.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The Star Rating Imperative (The Quality Bonus Profit Center)</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Medicare Advantage contracts are rated on a 1-to-5 Star Rating system, which is directly tied to lucrative federal bonuses.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Achieving a rating of 4 stars or higher is essential for maximizing profitability, as this threshold triggers higher bonus payments.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Additionally, higher scores result in larger rebates that the plan can utilize if its bid is below the CMS benchmark.</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creates a powerful virtuous cycle: the financial bonuses generated by achieving high Star Ratings (4 stars and above) create rebate dollars. These dollars are often used to fund richer benefits (e.g., lower copayments, added vision or dental benefits) that are highly attractive to Medicare beneficiaries. These enhanced benefits drive massive market share growth, compounding the competitive advantage annually. This structure compels payers to invest heavily in targeted digital tools, member engagement, and clinical programs designed specifically to improve HEDIS (Healthcare Effectiveness Data and Information Set) measures and other metrics that move the star rating needle.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Government Programs: Medicaid Managed Care (MMC)</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Medicaid MCOs receive fixed PMPM capitation payments from state agencies for managing care for defined low-income populations.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These contracts are high-risk, as MCOs must manage the cost and quality for complex, high-need populations while adhering to MLR requirements.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States frequently incentivize quality performance through Quality Incentive Programs (QIPs).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These programs measure performance against benchmarks such as HEDIS and CAHPS.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Achieving high performance in these areas, such as improved adolescent immunization rates or better follow-up care for mental health, often leads to retained revenue, favorable contract renewals, and eligibility for incentive payments from the state.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Products that address social determinants of health and improve population health outcomes for this vulnerable group are instrumental in securing these government contracts and related financial incentives.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Payer Business Model Comparison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synthesizes the financial differences across the three major market segments: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Payer Business Model Comparison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Business Segment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Revenue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Risk Assumed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Main Financial Lever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Critical Product Alignment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Commercial (Fully Insured)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Member Premiums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Claims Volatility &amp; Underwriting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Utilization control and network discounts.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Tools driving clinical efficiency and cost avoidance (QIA).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Commercial (ASO/Self-Funded)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Fixed Administrative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Operational efficiency; minimal claims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Selling high-margin services (admin, stop-loss).</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 systems for seamless claims processing, data integration, and employer analytics.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Medicare Advantage (MA)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Capitation Payments (CMS)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Patient Acuity (Risk Score) and Quality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Risk Adjustment</w:t>
            </w:r>
            <w:r w:rsidDel="00000000" w:rsidR="00000000" w:rsidRPr="00000000">
              <w:rPr>
                <w:rFonts w:ascii="Google Sans Text" w:cs="Google Sans Text" w:eastAsia="Google Sans Text" w:hAnsi="Google Sans Text"/>
                <w:color w:val="1b1c1d"/>
                <w:shd w:fill="auto" w:val="clear"/>
                <w:rtl w:val="0"/>
              </w:rPr>
              <w:t xml:space="preserve"> accuracy and </w:t>
            </w:r>
            <w:r w:rsidDel="00000000" w:rsidR="00000000" w:rsidRPr="00000000">
              <w:rPr>
                <w:rFonts w:ascii="Google Sans Text" w:cs="Google Sans Text" w:eastAsia="Google Sans Text" w:hAnsi="Google Sans Text"/>
                <w:b w:val="1"/>
                <w:color w:val="1b1c1d"/>
                <w:shd w:fill="auto" w:val="clear"/>
                <w:rtl w:val="0"/>
              </w:rPr>
              <w:t xml:space="preserve">Star Ratings</w:t>
            </w:r>
            <w:r w:rsidDel="00000000" w:rsidR="00000000" w:rsidRPr="00000000">
              <w:rPr>
                <w:rFonts w:ascii="Google Sans Text" w:cs="Google Sans Text" w:eastAsia="Google Sans Text" w:hAnsi="Google Sans Text"/>
                <w:color w:val="1b1c1d"/>
                <w:shd w:fill="auto" w:val="clear"/>
                <w:rtl w:val="0"/>
              </w:rPr>
              <w:t xml:space="preserve"> bonuses.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Documentation/coding support, member engagement for HEDIS measures.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Medicaid Managed Care (MMC)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Capitation Payments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Population Health Management and regulatory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State contract negotiation and </w:t>
            </w:r>
            <w:r w:rsidDel="00000000" w:rsidR="00000000" w:rsidRPr="00000000">
              <w:rPr>
                <w:rFonts w:ascii="Google Sans Text" w:cs="Google Sans Text" w:eastAsia="Google Sans Text" w:hAnsi="Google Sans Text"/>
                <w:b w:val="1"/>
                <w:color w:val="1b1c1d"/>
                <w:shd w:fill="auto" w:val="clear"/>
                <w:rtl w:val="0"/>
              </w:rPr>
              <w:t xml:space="preserve">Quality Incentive Program</w:t>
            </w:r>
            <w:r w:rsidDel="00000000" w:rsidR="00000000" w:rsidRPr="00000000">
              <w:rPr>
                <w:rFonts w:ascii="Google Sans Text" w:cs="Google Sans Text" w:eastAsia="Google Sans Text" w:hAnsi="Google Sans Text"/>
                <w:color w:val="1b1c1d"/>
                <w:shd w:fill="auto" w:val="clear"/>
                <w:rtl w:val="0"/>
              </w:rPr>
              <w:t xml:space="preserve"> results.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Solutions addressing social determinants of health (SDOH) to improve outcomes for targeted populations.</w:t>
            </w:r>
          </w:p>
        </w:tc>
      </w:tr>
    </w:tbl>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Payer Operating Model: From Network Control to Care Coordination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payer’s operating model is the operational infrastructure used to manage claims outflow and ensure efficient utilization, thereby protecting the administrative margin.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Provider Management and Contracting</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Payers invest heavily in contracting teams to negotiate rates, which determines the vast majority of the claims cost structure. The most significant shift in provider relations is the move away from volume-based Fee-for-Service (FFS) to Value-Based Care (VBC).</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popular VBC mechanism is </w:t>
      </w:r>
      <w:r w:rsidDel="00000000" w:rsidR="00000000" w:rsidRPr="00000000">
        <w:rPr>
          <w:rFonts w:ascii="Google Sans Text" w:cs="Google Sans Text" w:eastAsia="Google Sans Text" w:hAnsi="Google Sans Text"/>
          <w:b w:val="1"/>
          <w:color w:val="1b1c1d"/>
          <w:rtl w:val="0"/>
        </w:rPr>
        <w:t xml:space="preserve">Shared Savings</w:t>
      </w:r>
      <w:r w:rsidDel="00000000" w:rsidR="00000000" w:rsidRPr="00000000">
        <w:rPr>
          <w:rFonts w:ascii="Google Sans Text" w:cs="Google Sans Text" w:eastAsia="Google Sans Text" w:hAnsi="Google Sans Text"/>
          <w:color w:val="1b1c1d"/>
          <w:rtl w:val="0"/>
        </w:rPr>
        <w:t xml:space="preserve">, which incentivizes providers to reduce the total cost of care for a defined patient population.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If the providers successfully lower spending below a predetermined benchmark, the payer shares a percentage of those net savings with the provider.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Implementing shared savings requires highly sophisticated, auditable technical infrastructure to define populations, apply risk adjustment, calculate accurate total spending metrics, and precisely measure provider performance before savings can be distributed.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Systems that facilitate this complex financial and clinical calculation are essential for VBC success.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Claims Processing and Adjudication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Claims processing is the central function where the payer acts as the financial gatekeeper. The payer must receive a bill for services, quickly adjudicate it (determine if the service is covered and the correct payment amount), and issue payment. This process is complex, involving strict controls to identify potential underpayments, overpayments, and fraud.</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Payers actively manage accounts receivables. Entities such as Medicare Administrative Contractors (MACs) routinely analyze underpayments and overpayments, issue demand letters, and manage collection activities for delinquent receivables. They must maintain rigorous financial tracking and adjust their processes to handle exceptional situations like bankruptcies or provider suspensions, ensuring the integrity of the financial position.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Member Support and Engagement</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Payer investments in member support are strategic attempts to reduce long-term costs and administrative friction.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contact center is the primary interface for members. Payers are transitioning from traditional call centers to unified, omni-channel services supported by unified data sources.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investment in efficiency and personalized experiences reduces the time required for agents to resolve issues, directly lowering administrative costs while boosting member satisfaction metrics (which feeds into quality scores).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payers deploy digital health platforms and comprehensive wellness programs to promote preventive care and improve population health.</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These platforms serve two financial purposes: they often qualify as QIA (contributing positively to the MLR numerator) and they reduce future high-cost events by enabling remote patient assistance and monitoring, thus controlling claims outflow.</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Effective Care Coordination systems are crucial here, simplifying complex operational processes such as authorization management, referrals, and data exchange, leading directly to reduced costs for all parties involved in the care pathway.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Strategic Relevance for Product Builders: The "So What"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financial architecture of the payer is essential for product builders to move beyond simple features and focus on quantifiable value delivery. Successful products must directly influence the payer's constrained profit model.</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Three Product Levers for Payer Success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Affordability (Cost Reduction):</w:t>
      </w:r>
      <w:r w:rsidDel="00000000" w:rsidR="00000000" w:rsidRPr="00000000">
        <w:rPr>
          <w:rFonts w:ascii="Google Sans Text" w:cs="Google Sans Text" w:eastAsia="Google Sans Text" w:hAnsi="Google Sans Text"/>
          <w:color w:val="1b1c1d"/>
          <w:rtl w:val="0"/>
        </w:rPr>
        <w:t xml:space="preserve"> Solutions that reduce inappropriate utilization, effectively manage chronic conditions, or steer members toward high-quality, lower-cost network settings.</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Experience (Friction Reduction):</w:t>
      </w:r>
      <w:r w:rsidDel="00000000" w:rsidR="00000000" w:rsidRPr="00000000">
        <w:rPr>
          <w:rFonts w:ascii="Google Sans Text" w:cs="Google Sans Text" w:eastAsia="Google Sans Text" w:hAnsi="Google Sans Text"/>
          <w:color w:val="1b1c1d"/>
          <w:rtl w:val="0"/>
        </w:rPr>
        <w:t xml:space="preserve"> Tools that streamline high-volume administrative tasks, such as automating prior authorization, simplifying provider credentialing, or integrating disparate member service channels.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Quality/Outcomes (Revenue Maximization):</w:t>
      </w:r>
      <w:r w:rsidDel="00000000" w:rsidR="00000000" w:rsidRPr="00000000">
        <w:rPr>
          <w:rFonts w:ascii="Google Sans Text" w:cs="Google Sans Text" w:eastAsia="Google Sans Text" w:hAnsi="Google Sans Text"/>
          <w:color w:val="1b1c1d"/>
          <w:rtl w:val="0"/>
        </w:rPr>
        <w:t xml:space="preserve"> Products that directly lift the performance metrics tied to government bonuses, specifically Medicare Star Ratings, HEDIS measures, and risk adjustment accuracy.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Common Payer Pain Points as Opportunities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Regulatory Complexity:</w:t>
      </w:r>
      <w:r w:rsidDel="00000000" w:rsidR="00000000" w:rsidRPr="00000000">
        <w:rPr>
          <w:rFonts w:ascii="Google Sans Text" w:cs="Google Sans Text" w:eastAsia="Google Sans Text" w:hAnsi="Google Sans Text"/>
          <w:color w:val="1b1c1d"/>
          <w:rtl w:val="0"/>
        </w:rPr>
        <w:t xml:space="preserve"> Payers face constant pressure to prove MLR compliance and manage the inherent risk of mandated rebates.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 opportunity exists for products that automate the documentation, tracking, and calculation of Quality Improvement Activities (QIA), helping the payer prove compliance while strategically utilizing these funds.</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Gaps in Risk Adjustment:</w:t>
      </w:r>
      <w:r w:rsidDel="00000000" w:rsidR="00000000" w:rsidRPr="00000000">
        <w:rPr>
          <w:rFonts w:ascii="Google Sans Text" w:cs="Google Sans Text" w:eastAsia="Google Sans Text" w:hAnsi="Google Sans Text"/>
          <w:color w:val="1b1c1d"/>
          <w:rtl w:val="0"/>
        </w:rPr>
        <w:t xml:space="preserve"> In MA and ACA markets, under-coding of patient acuity results in significant, measurable revenue leakage. Since the HCC risk score is the fundamental driver of MA revenue, this is an existential problem.</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high-value opportunity lies in tools that utilize advanced technologies like Natural Language Processing (NLP) to analyze unstructured clinical notes (leveraging electronic health record data), identify undocumented chronic conditions, and prompt providers to submit the correct HCC codes. Such tools provide a tangible, immediate financial return by maximizing capitation payments.</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Provider Friction and VBC Implementation:</w:t>
      </w:r>
      <w:r w:rsidDel="00000000" w:rsidR="00000000" w:rsidRPr="00000000">
        <w:rPr>
          <w:rFonts w:ascii="Google Sans Text" w:cs="Google Sans Text" w:eastAsia="Google Sans Text" w:hAnsi="Google Sans Text"/>
          <w:color w:val="1b1c1d"/>
          <w:rtl w:val="0"/>
        </w:rPr>
        <w:t xml:space="preserve"> The transition to VBC and the current administrative burden (especially prior authorization) cause tension and cost. Opportunities exist for systems that integrate payer rules directly into the provider’s workflow or facilitate the accurate, real-time calculation and performance tracking required for complex Shared Savings contracts.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High-Value Product Examples Aligned to Payer Strategy</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Product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Payer Segment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Payer Financial Lever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Value Proposition for Payer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Digital Adherence/Screening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 Medicaid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Improves HEDIS/Star Rating metrics and drives quality bonuses.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increase in MA revenue via bonuses; compliance with state quality mandates.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HCC Coding &amp; Documentation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 ACA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Maximizes Risk Adjustment (PMPM) revenue by ensuring clinical documentation accuracy.</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Converts clinical documentation into measurable, auditable revenue capture.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Care Coordination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Segments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Reduces administrative costs and inappropriate utilization (QIA).</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Improves operational efficiency; reduces avoidable high-cost events; contributes to MLR QIA numerator.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ASO/Stop-Loss Management Platforms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Commercial (ASO)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Enhances payer service offerings and operational efficiency for the employer.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Strengthens core administrative service sales and increases adoption of ancillary, high-margin products.</w:t>
            </w:r>
          </w:p>
        </w:tc>
      </w:tr>
    </w:tbl>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Conclusion: Building for Financial Value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measure of a successful product in the healthcare payer ecosystem is its quantifiable impact on the payer's constrained financial model. Innovations must demonstrably achieve one or more of the following: 1) reduce the massive claims outflow through utilization management and preventive care; 2) drive down the administrative expense base through operational efficiency and automation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or 3) maximize government revenue capture by ensuring high accuracy in risk adjustment or superior performance in quality rating programs.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Products that fail to articulate their value in these specific financial terms are likely to be categorized as "nice-to-have" expenses rather than strategic, necessary investments.</w:t>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Loss Ratio Tip Sheet - ACL Administration for Community ..., accessed October 16, 2025, </w:t>
      </w:r>
      <w:hyperlink r:id="rId6">
        <w:r w:rsidDel="00000000" w:rsidR="00000000" w:rsidRPr="00000000">
          <w:rPr>
            <w:rFonts w:ascii="Google Sans" w:cs="Google Sans" w:eastAsia="Google Sans" w:hAnsi="Google Sans"/>
            <w:color w:val="0000ee"/>
            <w:sz w:val="24"/>
            <w:szCs w:val="24"/>
            <w:u w:val="single"/>
            <w:rtl w:val="0"/>
          </w:rPr>
          <w:t xml:space="preserve">https://acl.gov/sites/default/files/programs/2017-03/Medical_Loss_Ratio_Tip_Sheet_Final.pdf</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Payers Can Transform the Member Experience to Boost Revenue - Salesforce.com, accessed October 16, 2025, </w:t>
      </w:r>
      <w:hyperlink r:id="rId7">
        <w:r w:rsidDel="00000000" w:rsidR="00000000" w:rsidRPr="00000000">
          <w:rPr>
            <w:rFonts w:ascii="Google Sans" w:cs="Google Sans" w:eastAsia="Google Sans" w:hAnsi="Google Sans"/>
            <w:color w:val="0000ee"/>
            <w:sz w:val="24"/>
            <w:szCs w:val="24"/>
            <w:u w:val="single"/>
            <w:rtl w:val="0"/>
          </w:rPr>
          <w:t xml:space="preserve">https://www.salesforce.com/resources/articles/healthcare-contact-center-form/</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Design Elements of Shared-Savings Payment Arrangements - Commonwealth Fund, accessed October 16, 2025, </w:t>
      </w:r>
      <w:hyperlink r:id="rId8">
        <w:r w:rsidDel="00000000" w:rsidR="00000000" w:rsidRPr="00000000">
          <w:rPr>
            <w:rFonts w:ascii="Google Sans" w:cs="Google Sans" w:eastAsia="Google Sans" w:hAnsi="Google Sans"/>
            <w:color w:val="0000ee"/>
            <w:sz w:val="24"/>
            <w:szCs w:val="24"/>
            <w:u w:val="single"/>
            <w:rtl w:val="0"/>
          </w:rPr>
          <w:t xml:space="preserve">https://www.commonwealthfund.org/sites/default/files/documents/___media_files_publications_issue_brief_2011_aug_1539_bailit_key_design_elements_sharedsavings_ib_v2.pdf</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Administrative Services Only (ASO) Insurance - The Benefits Group, accessed October 16, 2025, </w:t>
      </w:r>
      <w:hyperlink r:id="rId9">
        <w:r w:rsidDel="00000000" w:rsidR="00000000" w:rsidRPr="00000000">
          <w:rPr>
            <w:rFonts w:ascii="Google Sans" w:cs="Google Sans" w:eastAsia="Google Sans" w:hAnsi="Google Sans"/>
            <w:color w:val="0000ee"/>
            <w:sz w:val="24"/>
            <w:szCs w:val="24"/>
            <w:u w:val="single"/>
            <w:rtl w:val="0"/>
          </w:rPr>
          <w:t xml:space="preserve">https://healthbrokers.com/ancillary/aso/</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Administrative Services Only (ASO): Guide to Benefits and Risks - Investopedia, accessed October 16, 2025, </w:t>
      </w:r>
      <w:hyperlink r:id="rId10">
        <w:r w:rsidDel="00000000" w:rsidR="00000000" w:rsidRPr="00000000">
          <w:rPr>
            <w:rFonts w:ascii="Google Sans" w:cs="Google Sans" w:eastAsia="Google Sans" w:hAnsi="Google Sans"/>
            <w:color w:val="0000ee"/>
            <w:sz w:val="24"/>
            <w:szCs w:val="24"/>
            <w:u w:val="single"/>
            <w:rtl w:val="0"/>
          </w:rPr>
          <w:t xml:space="preserve">https://www.investopedia.com/terms/a/administrative-services-only.asp</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Basics of Risk Adjustment - Commonwealth Fund, accessed October 16, 2025, </w:t>
      </w:r>
      <w:hyperlink r:id="rId11">
        <w:r w:rsidDel="00000000" w:rsidR="00000000" w:rsidRPr="00000000">
          <w:rPr>
            <w:rFonts w:ascii="Google Sans" w:cs="Google Sans" w:eastAsia="Google Sans" w:hAnsi="Google Sans"/>
            <w:color w:val="0000ee"/>
            <w:sz w:val="24"/>
            <w:szCs w:val="24"/>
            <w:u w:val="single"/>
            <w:rtl w:val="0"/>
          </w:rPr>
          <w:t xml:space="preserve">https://www.commonwealthfund.org/publications/explainer/2024/apr/basics-risk-adjustment</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Winners and losers from 2026 Medicare Advantage star ratings ..., accessed October 16, 2025, </w:t>
      </w:r>
      <w:hyperlink r:id="rId12">
        <w:r w:rsidDel="00000000" w:rsidR="00000000" w:rsidRPr="00000000">
          <w:rPr>
            <w:rFonts w:ascii="Google Sans" w:cs="Google Sans" w:eastAsia="Google Sans" w:hAnsi="Google Sans"/>
            <w:color w:val="0000ee"/>
            <w:sz w:val="24"/>
            <w:szCs w:val="24"/>
            <w:u w:val="single"/>
            <w:rtl w:val="0"/>
          </w:rPr>
          <w:t xml:space="preserve">https://www.healthcaredive.com/news/2026-medicare-advantage-star-ratings-winners-losers/802572/</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Medicaid managed care payment - MACPAC, accessed October 16, 2025, </w:t>
      </w:r>
      <w:hyperlink r:id="rId13">
        <w:r w:rsidDel="00000000" w:rsidR="00000000" w:rsidRPr="00000000">
          <w:rPr>
            <w:rFonts w:ascii="Google Sans" w:cs="Google Sans" w:eastAsia="Google Sans" w:hAnsi="Google Sans"/>
            <w:color w:val="0000ee"/>
            <w:sz w:val="24"/>
            <w:szCs w:val="24"/>
            <w:u w:val="single"/>
            <w:rtl w:val="0"/>
          </w:rPr>
          <w:t xml:space="preserve">https://www.macpac.gov/subtopic/medicaid-managed-care-payment/</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2022 Medicaid Managed Care Quality Incentive Report - New York State Department of Health, accessed October 16, 2025, </w:t>
      </w:r>
      <w:hyperlink r:id="rId14">
        <w:r w:rsidDel="00000000" w:rsidR="00000000" w:rsidRPr="00000000">
          <w:rPr>
            <w:rFonts w:ascii="Google Sans" w:cs="Google Sans" w:eastAsia="Google Sans" w:hAnsi="Google Sans"/>
            <w:color w:val="0000ee"/>
            <w:sz w:val="24"/>
            <w:szCs w:val="24"/>
            <w:u w:val="single"/>
            <w:rtl w:val="0"/>
          </w:rPr>
          <w:t xml:space="preserve">https://www.health.ny.gov/health_care/managed_care/reports/docs/quality_incentive/quality_incentive_2022.htm</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Healthcare Ecosystem Power Structure Explained - YouTube, accessed October 16,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https://www.youtube.com/watch?v=1K3DguAUb1s</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Care Coordination Benefits Healthcare &amp; Payers? - MedVision Inc., accessed October 16, 2025, </w:t>
      </w:r>
      <w:hyperlink r:id="rId16">
        <w:r w:rsidDel="00000000" w:rsidR="00000000" w:rsidRPr="00000000">
          <w:rPr>
            <w:rFonts w:ascii="Google Sans" w:cs="Google Sans" w:eastAsia="Google Sans" w:hAnsi="Google Sans"/>
            <w:color w:val="0000ee"/>
            <w:sz w:val="24"/>
            <w:szCs w:val="24"/>
            <w:u w:val="single"/>
            <w:rtl w:val="0"/>
          </w:rPr>
          <w:t xml:space="preserve">https://www.medvision-solutions.com/blog/how-does-care-coordination-benefits-healthcare-payer-organizations</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Processing of Claims for Part A and Part B: Enterprise Architecture - CMS, accessed October 16, 2025, </w:t>
      </w:r>
      <w:hyperlink r:id="rId17">
        <w:r w:rsidDel="00000000" w:rsidR="00000000" w:rsidRPr="00000000">
          <w:rPr>
            <w:rFonts w:ascii="Google Sans" w:cs="Google Sans" w:eastAsia="Google Sans" w:hAnsi="Google Sans"/>
            <w:color w:val="0000ee"/>
            <w:sz w:val="24"/>
            <w:szCs w:val="24"/>
            <w:u w:val="single"/>
            <w:rtl w:val="0"/>
          </w:rPr>
          <w:t xml:space="preserve">https://www.cms.gov/Medicare/Medicare-Contracting/Medicare-Administrative-Contractors/Downloads/A-B-Enterprise-Claims-Processing-Architecture.pdf</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Affordable Care Act Risk Adjustment: Overview, Context, and Challenges - PubMed Central, accessed October 16, 2025,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https://pmc.ncbi.nlm.nih.gov/articles/PMC4214269/</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29 Top Digital Health Platforms, accessed October 16, 2025, </w:t>
      </w:r>
      <w:hyperlink r:id="rId19">
        <w:r w:rsidDel="00000000" w:rsidR="00000000" w:rsidRPr="00000000">
          <w:rPr>
            <w:rFonts w:ascii="Google Sans" w:cs="Google Sans" w:eastAsia="Google Sans" w:hAnsi="Google Sans"/>
            <w:color w:val="0000ee"/>
            <w:sz w:val="24"/>
            <w:szCs w:val="24"/>
            <w:u w:val="single"/>
            <w:rtl w:val="0"/>
          </w:rPr>
          <w:t xml:space="preserve">https://www.mahalo.health/insights/top-digital-health-platforms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commonwealthfund.org/publications/explainer/2024/apr/basics-risk-adjustment" TargetMode="External"/><Relationship Id="rId10" Type="http://schemas.openxmlformats.org/officeDocument/2006/relationships/hyperlink" Target="https://www.investopedia.com/terms/a/administrative-services-only.asp" TargetMode="External"/><Relationship Id="rId13" Type="http://schemas.openxmlformats.org/officeDocument/2006/relationships/hyperlink" Target="https://www.macpac.gov/subtopic/medicaid-managed-care-payment/" TargetMode="External"/><Relationship Id="rId12" Type="http://schemas.openxmlformats.org/officeDocument/2006/relationships/hyperlink" Target="https://www.healthcaredive.com/news/2026-medicare-advantage-star-ratings-winners-losers/80257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ealthbrokers.com/ancillary/aso/" TargetMode="External"/><Relationship Id="rId15" Type="http://schemas.openxmlformats.org/officeDocument/2006/relationships/hyperlink" Target="https://www.youtube.com/watch?v=1K3DguAUb1s" TargetMode="External"/><Relationship Id="rId14" Type="http://schemas.openxmlformats.org/officeDocument/2006/relationships/hyperlink" Target="https://www.health.ny.gov/health_care/managed_care/reports/docs/quality_incentive/quality_incentive_2022.htm" TargetMode="External"/><Relationship Id="rId17" Type="http://schemas.openxmlformats.org/officeDocument/2006/relationships/hyperlink" Target="https://www.cms.gov/Medicare/Medicare-Contracting/Medicare-Administrative-Contractors/Downloads/A-B-Enterprise-Claims-Processing-Architecture.pdf" TargetMode="External"/><Relationship Id="rId16" Type="http://schemas.openxmlformats.org/officeDocument/2006/relationships/hyperlink" Target="https://www.medvision-solutions.com/blog/how-does-care-coordination-benefits-healthcare-payer-organizations" TargetMode="External"/><Relationship Id="rId5" Type="http://schemas.openxmlformats.org/officeDocument/2006/relationships/styles" Target="styles.xml"/><Relationship Id="rId19" Type="http://schemas.openxmlformats.org/officeDocument/2006/relationships/hyperlink" Target="https://www.mahalo.health/insights/top-digital-health-platforms" TargetMode="External"/><Relationship Id="rId6" Type="http://schemas.openxmlformats.org/officeDocument/2006/relationships/hyperlink" Target="https://acl.gov/sites/default/files/programs/2017-03/Medical_Loss_Ratio_Tip_Sheet_Final.pdf" TargetMode="External"/><Relationship Id="rId18" Type="http://schemas.openxmlformats.org/officeDocument/2006/relationships/hyperlink" Target="https://pmc.ncbi.nlm.nih.gov/articles/PMC4214269/" TargetMode="External"/><Relationship Id="rId7" Type="http://schemas.openxmlformats.org/officeDocument/2006/relationships/hyperlink" Target="https://www.salesforce.com/resources/articles/healthcare-contact-center-form/" TargetMode="External"/><Relationship Id="rId8" Type="http://schemas.openxmlformats.org/officeDocument/2006/relationships/hyperlink" Target="https://www.commonwealthfund.org/sites/default/files/documents/___media_files_publications_issue_brief_2011_aug_1539_bailit_key_design_elements_sharedsavings_ib_v2.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